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53" w:rsidRDefault="00D2114D" w:rsidP="00D2114D">
      <w:pPr>
        <w:pStyle w:val="Corpotesto"/>
        <w:jc w:val="center"/>
        <w:rPr>
          <w:b/>
          <w:sz w:val="36"/>
          <w:szCs w:val="36"/>
          <w:shd w:val="clear" w:color="auto" w:fill="FFFFFF"/>
          <w:lang w:eastAsia="it-IT"/>
        </w:rPr>
      </w:pPr>
      <w:r w:rsidRPr="00D2114D">
        <w:rPr>
          <w:b/>
          <w:sz w:val="36"/>
          <w:szCs w:val="36"/>
          <w:shd w:val="clear" w:color="auto" w:fill="FFFFFF"/>
          <w:lang w:eastAsia="it-IT"/>
        </w:rPr>
        <w:t>P</w:t>
      </w:r>
      <w:r w:rsidR="000A70CB" w:rsidRPr="00D2114D">
        <w:rPr>
          <w:b/>
          <w:sz w:val="36"/>
          <w:szCs w:val="36"/>
          <w:shd w:val="clear" w:color="auto" w:fill="FFFFFF"/>
          <w:lang w:eastAsia="it-IT"/>
        </w:rPr>
        <w:t>rogramma</w:t>
      </w:r>
    </w:p>
    <w:p w:rsidR="00D2114D" w:rsidRPr="00D2114D" w:rsidRDefault="00D2114D" w:rsidP="00D2114D">
      <w:pPr>
        <w:pStyle w:val="Corpotesto"/>
        <w:jc w:val="center"/>
        <w:rPr>
          <w:b/>
          <w:sz w:val="36"/>
          <w:szCs w:val="36"/>
          <w:shd w:val="clear" w:color="auto" w:fill="FFFFFF"/>
          <w:lang w:eastAsia="it-IT"/>
        </w:rPr>
      </w:pPr>
      <w:bookmarkStart w:id="0" w:name="_GoBack"/>
      <w:bookmarkEnd w:id="0"/>
    </w:p>
    <w:p w:rsidR="001F7641" w:rsidRPr="004E45B7" w:rsidRDefault="001F7641" w:rsidP="004E45B7">
      <w:pPr>
        <w:spacing w:after="20" w:line="276" w:lineRule="auto"/>
        <w:jc w:val="both"/>
        <w:rPr>
          <w:b/>
          <w:shd w:val="clear" w:color="auto" w:fill="FFFFFF"/>
          <w:lang w:eastAsia="it-IT"/>
        </w:rPr>
      </w:pPr>
    </w:p>
    <w:p w:rsidR="007372E2" w:rsidRPr="00D2114D" w:rsidRDefault="00E85FEC" w:rsidP="00B326AB">
      <w:pPr>
        <w:widowControl/>
        <w:autoSpaceDE/>
        <w:autoSpaceDN/>
        <w:spacing w:line="276" w:lineRule="auto"/>
        <w:contextualSpacing/>
        <w:jc w:val="both"/>
        <w:rPr>
          <w:b/>
          <w:sz w:val="24"/>
          <w:szCs w:val="24"/>
        </w:rPr>
      </w:pPr>
      <w:r w:rsidRPr="00D2114D">
        <w:rPr>
          <w:b/>
          <w:sz w:val="24"/>
          <w:szCs w:val="24"/>
        </w:rPr>
        <w:t>La programmazione delle opere pubbliche:</w:t>
      </w:r>
    </w:p>
    <w:p w:rsidR="007372E2" w:rsidRPr="00D2114D" w:rsidRDefault="00E85FEC" w:rsidP="004E45B7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ind w:left="1494"/>
        <w:contextualSpacing/>
        <w:jc w:val="both"/>
        <w:rPr>
          <w:sz w:val="24"/>
          <w:szCs w:val="24"/>
        </w:rPr>
      </w:pPr>
      <w:r w:rsidRPr="00D2114D">
        <w:rPr>
          <w:sz w:val="24"/>
          <w:szCs w:val="24"/>
        </w:rPr>
        <w:t>Criteri di redazione del programma triennale delle opere pubbliche;</w:t>
      </w:r>
    </w:p>
    <w:p w:rsidR="007372E2" w:rsidRPr="00D2114D" w:rsidRDefault="00E85FEC" w:rsidP="004E45B7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ind w:left="1494"/>
        <w:contextualSpacing/>
        <w:jc w:val="both"/>
        <w:rPr>
          <w:sz w:val="24"/>
          <w:szCs w:val="24"/>
        </w:rPr>
      </w:pPr>
      <w:r w:rsidRPr="00D2114D">
        <w:rPr>
          <w:sz w:val="24"/>
          <w:szCs w:val="24"/>
        </w:rPr>
        <w:t>Iter di approvazione ed aggiornamento e le successive variazioni;</w:t>
      </w:r>
    </w:p>
    <w:p w:rsidR="00E85FEC" w:rsidRPr="00D2114D" w:rsidRDefault="00E85FEC" w:rsidP="004E45B7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ind w:left="1494"/>
        <w:contextualSpacing/>
        <w:jc w:val="both"/>
        <w:rPr>
          <w:sz w:val="24"/>
          <w:szCs w:val="24"/>
        </w:rPr>
      </w:pPr>
      <w:r w:rsidRPr="00D2114D">
        <w:rPr>
          <w:sz w:val="24"/>
          <w:szCs w:val="24"/>
        </w:rPr>
        <w:t>La determinazione del valore soglia;</w:t>
      </w:r>
    </w:p>
    <w:p w:rsidR="00E85FEC" w:rsidRPr="00D2114D" w:rsidRDefault="00E85FEC" w:rsidP="004E45B7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ind w:left="1494"/>
        <w:contextualSpacing/>
        <w:jc w:val="both"/>
        <w:rPr>
          <w:sz w:val="24"/>
          <w:szCs w:val="24"/>
        </w:rPr>
      </w:pPr>
      <w:r w:rsidRPr="00D2114D">
        <w:rPr>
          <w:sz w:val="24"/>
          <w:szCs w:val="24"/>
        </w:rPr>
        <w:t xml:space="preserve">L’elenco annuale ed il programma triennale: analogie e differenze; </w:t>
      </w:r>
    </w:p>
    <w:p w:rsidR="00E85FEC" w:rsidRPr="00D2114D" w:rsidRDefault="00E85FEC" w:rsidP="004E45B7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ind w:left="1494"/>
        <w:contextualSpacing/>
        <w:jc w:val="both"/>
        <w:rPr>
          <w:sz w:val="24"/>
          <w:szCs w:val="24"/>
        </w:rPr>
      </w:pPr>
      <w:r w:rsidRPr="00D2114D">
        <w:rPr>
          <w:sz w:val="24"/>
          <w:szCs w:val="24"/>
        </w:rPr>
        <w:t>Rapporto con DUP e bilancio;</w:t>
      </w:r>
    </w:p>
    <w:p w:rsidR="00E85FEC" w:rsidRPr="00D2114D" w:rsidRDefault="00E85FEC" w:rsidP="004E45B7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ind w:left="1494"/>
        <w:contextualSpacing/>
        <w:jc w:val="both"/>
        <w:rPr>
          <w:sz w:val="24"/>
          <w:szCs w:val="24"/>
        </w:rPr>
      </w:pPr>
      <w:r w:rsidRPr="00D2114D">
        <w:rPr>
          <w:sz w:val="24"/>
          <w:szCs w:val="24"/>
        </w:rPr>
        <w:t>La progettazione delle opere pubbliche.</w:t>
      </w:r>
    </w:p>
    <w:p w:rsidR="007372E2" w:rsidRPr="00D2114D" w:rsidRDefault="007372E2" w:rsidP="004E45B7">
      <w:pPr>
        <w:pStyle w:val="Paragrafoelenco"/>
        <w:widowControl/>
        <w:autoSpaceDE/>
        <w:autoSpaceDN/>
        <w:spacing w:line="276" w:lineRule="auto"/>
        <w:ind w:left="1440"/>
        <w:contextualSpacing/>
        <w:jc w:val="both"/>
        <w:rPr>
          <w:sz w:val="24"/>
          <w:szCs w:val="24"/>
        </w:rPr>
      </w:pPr>
    </w:p>
    <w:p w:rsidR="00BE6E9D" w:rsidRPr="00D2114D" w:rsidRDefault="00E85FEC" w:rsidP="004E45B7">
      <w:pPr>
        <w:widowControl/>
        <w:autoSpaceDE/>
        <w:autoSpaceDN/>
        <w:spacing w:line="276" w:lineRule="auto"/>
        <w:contextualSpacing/>
        <w:jc w:val="both"/>
        <w:rPr>
          <w:b/>
          <w:sz w:val="24"/>
          <w:szCs w:val="24"/>
        </w:rPr>
      </w:pPr>
      <w:r w:rsidRPr="00D2114D">
        <w:rPr>
          <w:b/>
          <w:sz w:val="24"/>
          <w:szCs w:val="24"/>
        </w:rPr>
        <w:t>Il quadro esigenziale e l’atto di indirizzo alla progettazione</w:t>
      </w:r>
      <w:r w:rsidR="007372E2" w:rsidRPr="00D2114D">
        <w:rPr>
          <w:b/>
          <w:sz w:val="24"/>
          <w:szCs w:val="24"/>
        </w:rPr>
        <w:t>:</w:t>
      </w:r>
    </w:p>
    <w:p w:rsidR="007372E2" w:rsidRPr="00D2114D" w:rsidRDefault="00E85FEC" w:rsidP="00E85FEC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2114D">
        <w:rPr>
          <w:sz w:val="24"/>
          <w:szCs w:val="24"/>
        </w:rPr>
        <w:t xml:space="preserve">Le novità in materia di progettazione introdotte dal </w:t>
      </w:r>
      <w:r w:rsidR="00AA3F8A" w:rsidRPr="00D2114D">
        <w:rPr>
          <w:sz w:val="24"/>
          <w:szCs w:val="24"/>
        </w:rPr>
        <w:t>d.lgs.;</w:t>
      </w:r>
    </w:p>
    <w:p w:rsidR="006B3B55" w:rsidRPr="00D2114D" w:rsidRDefault="00AA3F8A" w:rsidP="00E85FEC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2114D">
        <w:rPr>
          <w:sz w:val="24"/>
          <w:szCs w:val="24"/>
        </w:rPr>
        <w:t>Il documento di fattibilità delle alternative progettuali, progetto di fattibilità e progetto esecutivo;</w:t>
      </w:r>
    </w:p>
    <w:p w:rsidR="007372E2" w:rsidRPr="00D2114D" w:rsidRDefault="00AA3F8A" w:rsidP="00E85FEC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2114D">
        <w:rPr>
          <w:sz w:val="24"/>
          <w:szCs w:val="24"/>
        </w:rPr>
        <w:t xml:space="preserve">La contabilizzazione ed il finanziamento delle spese di progettazione: casi di costituzione del FPV; </w:t>
      </w:r>
    </w:p>
    <w:p w:rsidR="007372E2" w:rsidRPr="00D2114D" w:rsidRDefault="00AA3F8A" w:rsidP="00E85FEC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2114D">
        <w:rPr>
          <w:sz w:val="24"/>
          <w:szCs w:val="24"/>
        </w:rPr>
        <w:t>Dal progetto alla realizzazione dell’opera.</w:t>
      </w:r>
    </w:p>
    <w:p w:rsidR="007372E2" w:rsidRPr="00D2114D" w:rsidRDefault="007372E2" w:rsidP="004E45B7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</w:rPr>
      </w:pPr>
    </w:p>
    <w:p w:rsidR="007372E2" w:rsidRPr="00D2114D" w:rsidRDefault="00AA3F8A" w:rsidP="004E45B7">
      <w:pPr>
        <w:widowControl/>
        <w:autoSpaceDE/>
        <w:autoSpaceDN/>
        <w:spacing w:line="276" w:lineRule="auto"/>
        <w:contextualSpacing/>
        <w:jc w:val="both"/>
        <w:rPr>
          <w:b/>
          <w:sz w:val="24"/>
          <w:szCs w:val="24"/>
        </w:rPr>
      </w:pPr>
      <w:r w:rsidRPr="00D2114D">
        <w:rPr>
          <w:b/>
          <w:sz w:val="24"/>
          <w:szCs w:val="24"/>
        </w:rPr>
        <w:t>Il finanziamento dell’opera pubblica</w:t>
      </w:r>
      <w:r w:rsidR="00BE6E9D" w:rsidRPr="00D2114D">
        <w:rPr>
          <w:b/>
          <w:sz w:val="24"/>
          <w:szCs w:val="24"/>
        </w:rPr>
        <w:t>: risorse di bilancio, mutui, contributi:</w:t>
      </w:r>
      <w:r w:rsidRPr="00D2114D">
        <w:rPr>
          <w:b/>
          <w:sz w:val="24"/>
          <w:szCs w:val="24"/>
        </w:rPr>
        <w:t xml:space="preserve"> </w:t>
      </w:r>
    </w:p>
    <w:p w:rsidR="007372E2" w:rsidRPr="00D2114D" w:rsidRDefault="00D66A0C" w:rsidP="00BE6E9D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2114D">
        <w:rPr>
          <w:sz w:val="24"/>
          <w:szCs w:val="24"/>
        </w:rPr>
        <w:t xml:space="preserve">I </w:t>
      </w:r>
      <w:r w:rsidR="00BE6E9D" w:rsidRPr="00D2114D">
        <w:rPr>
          <w:sz w:val="24"/>
          <w:szCs w:val="24"/>
        </w:rPr>
        <w:t>casi di costit</w:t>
      </w:r>
      <w:r w:rsidRPr="00D2114D">
        <w:rPr>
          <w:sz w:val="24"/>
          <w:szCs w:val="24"/>
        </w:rPr>
        <w:t>uzione del fondo pluriennale vincolato alla luce delle nuove soglie degli appalti;</w:t>
      </w:r>
    </w:p>
    <w:p w:rsidR="007372E2" w:rsidRPr="00D2114D" w:rsidRDefault="00D66A0C" w:rsidP="00BE6E9D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2114D">
        <w:rPr>
          <w:sz w:val="24"/>
          <w:szCs w:val="24"/>
        </w:rPr>
        <w:t>La FAQ n. 53 Arconet e le problematich</w:t>
      </w:r>
      <w:r w:rsidR="00CC3A31" w:rsidRPr="00D2114D">
        <w:rPr>
          <w:sz w:val="24"/>
          <w:szCs w:val="24"/>
        </w:rPr>
        <w:t>e operative: spunti e soluzioni</w:t>
      </w:r>
      <w:r w:rsidRPr="00D2114D">
        <w:rPr>
          <w:sz w:val="24"/>
          <w:szCs w:val="24"/>
        </w:rPr>
        <w:t>;</w:t>
      </w:r>
    </w:p>
    <w:p w:rsidR="007372E2" w:rsidRPr="00D2114D" w:rsidRDefault="00CC3A31" w:rsidP="00BE6E9D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2114D">
        <w:rPr>
          <w:sz w:val="24"/>
          <w:szCs w:val="24"/>
        </w:rPr>
        <w:t>Il cronoprogramma di spesa e l’esegibilità in bilancio;</w:t>
      </w:r>
    </w:p>
    <w:p w:rsidR="00CC3A31" w:rsidRPr="00D2114D" w:rsidRDefault="00CC3A31" w:rsidP="00BE6E9D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2114D">
        <w:rPr>
          <w:sz w:val="24"/>
          <w:szCs w:val="24"/>
        </w:rPr>
        <w:t>Le variazioni di esigibilità: competenze, tempistiche, tecniche;</w:t>
      </w:r>
    </w:p>
    <w:p w:rsidR="00B326AB" w:rsidRPr="00D2114D" w:rsidRDefault="00CC3A31" w:rsidP="00BE6E9D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2114D">
        <w:rPr>
          <w:sz w:val="24"/>
          <w:szCs w:val="24"/>
        </w:rPr>
        <w:t>La conservazione delle risorse</w:t>
      </w:r>
      <w:r w:rsidR="00B326AB" w:rsidRPr="00D2114D">
        <w:rPr>
          <w:sz w:val="24"/>
          <w:szCs w:val="24"/>
        </w:rPr>
        <w:t xml:space="preserve"> nel FPV: economie da ribasso e loro riutilizzo;</w:t>
      </w:r>
      <w:r w:rsidRPr="00D2114D">
        <w:rPr>
          <w:sz w:val="24"/>
          <w:szCs w:val="24"/>
        </w:rPr>
        <w:t xml:space="preserve"> </w:t>
      </w:r>
    </w:p>
    <w:p w:rsidR="00CC3A31" w:rsidRPr="00D2114D" w:rsidRDefault="00B326AB" w:rsidP="00BE6E9D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2114D">
        <w:rPr>
          <w:sz w:val="24"/>
          <w:szCs w:val="24"/>
        </w:rPr>
        <w:t>Regole speciali per il PNRR.</w:t>
      </w:r>
      <w:r w:rsidR="00CC3A31" w:rsidRPr="00D2114D">
        <w:rPr>
          <w:sz w:val="24"/>
          <w:szCs w:val="24"/>
        </w:rPr>
        <w:t xml:space="preserve"> </w:t>
      </w:r>
    </w:p>
    <w:p w:rsidR="00B326AB" w:rsidRPr="00D2114D" w:rsidRDefault="00B326AB" w:rsidP="00B326AB">
      <w:pPr>
        <w:pStyle w:val="Paragrafoelenco"/>
        <w:widowControl/>
        <w:autoSpaceDE/>
        <w:autoSpaceDN/>
        <w:spacing w:line="276" w:lineRule="auto"/>
        <w:ind w:left="1080"/>
        <w:contextualSpacing/>
        <w:jc w:val="both"/>
        <w:rPr>
          <w:sz w:val="24"/>
          <w:szCs w:val="24"/>
        </w:rPr>
      </w:pPr>
    </w:p>
    <w:p w:rsidR="00B326AB" w:rsidRPr="00D2114D" w:rsidRDefault="00B326AB" w:rsidP="00B326AB">
      <w:pPr>
        <w:widowControl/>
        <w:autoSpaceDE/>
        <w:autoSpaceDN/>
        <w:spacing w:line="276" w:lineRule="auto"/>
        <w:contextualSpacing/>
        <w:jc w:val="both"/>
        <w:rPr>
          <w:b/>
          <w:sz w:val="24"/>
          <w:szCs w:val="24"/>
        </w:rPr>
      </w:pPr>
      <w:r w:rsidRPr="00D2114D">
        <w:rPr>
          <w:b/>
          <w:sz w:val="24"/>
          <w:szCs w:val="24"/>
        </w:rPr>
        <w:t xml:space="preserve">Le regole contabili particolari previste per i finanzi PNRR: </w:t>
      </w:r>
    </w:p>
    <w:p w:rsidR="00B326AB" w:rsidRPr="00D2114D" w:rsidRDefault="00B326AB" w:rsidP="00B326AB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2114D">
        <w:rPr>
          <w:sz w:val="24"/>
          <w:szCs w:val="24"/>
        </w:rPr>
        <w:t xml:space="preserve">L’accertamento delle risorse in bilancio </w:t>
      </w:r>
      <w:r w:rsidR="00AB1279" w:rsidRPr="00D2114D">
        <w:rPr>
          <w:sz w:val="24"/>
          <w:szCs w:val="24"/>
        </w:rPr>
        <w:t>e loro imputazione</w:t>
      </w:r>
      <w:r w:rsidRPr="00D2114D">
        <w:rPr>
          <w:sz w:val="24"/>
          <w:szCs w:val="24"/>
        </w:rPr>
        <w:t>;</w:t>
      </w:r>
    </w:p>
    <w:p w:rsidR="00B326AB" w:rsidRPr="00D2114D" w:rsidRDefault="00AB1279" w:rsidP="00AB1279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2114D">
        <w:rPr>
          <w:sz w:val="24"/>
          <w:szCs w:val="24"/>
        </w:rPr>
        <w:t>La perimentrazione dei capitoli e la classificazione della transazione elementare</w:t>
      </w:r>
    </w:p>
    <w:p w:rsidR="00B326AB" w:rsidRPr="00D2114D" w:rsidRDefault="00AB1279" w:rsidP="00B326AB">
      <w:pPr>
        <w:pStyle w:val="Paragrafoelenco"/>
        <w:widowControl/>
        <w:numPr>
          <w:ilvl w:val="0"/>
          <w:numId w:val="11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D2114D">
        <w:rPr>
          <w:sz w:val="24"/>
          <w:szCs w:val="24"/>
        </w:rPr>
        <w:t xml:space="preserve">Fondi </w:t>
      </w:r>
      <w:r w:rsidR="00B326AB" w:rsidRPr="00D2114D">
        <w:rPr>
          <w:sz w:val="24"/>
          <w:szCs w:val="24"/>
        </w:rPr>
        <w:t>PNRR</w:t>
      </w:r>
      <w:r w:rsidRPr="00D2114D">
        <w:rPr>
          <w:sz w:val="24"/>
          <w:szCs w:val="24"/>
        </w:rPr>
        <w:t xml:space="preserve"> per il digitale</w:t>
      </w:r>
      <w:r w:rsidR="00B326AB" w:rsidRPr="00D2114D">
        <w:rPr>
          <w:sz w:val="24"/>
          <w:szCs w:val="24"/>
        </w:rPr>
        <w:t xml:space="preserve">. </w:t>
      </w:r>
    </w:p>
    <w:p w:rsidR="00B326AB" w:rsidRPr="00D2114D" w:rsidRDefault="00B326AB" w:rsidP="00B326AB">
      <w:pPr>
        <w:spacing w:after="20" w:line="276" w:lineRule="auto"/>
        <w:jc w:val="both"/>
        <w:rPr>
          <w:rFonts w:eastAsia="Calibri"/>
          <w:b/>
          <w:sz w:val="24"/>
          <w:szCs w:val="24"/>
        </w:rPr>
      </w:pPr>
    </w:p>
    <w:p w:rsidR="00B326AB" w:rsidRPr="00D2114D" w:rsidRDefault="00B326AB" w:rsidP="00B326AB">
      <w:pPr>
        <w:pStyle w:val="Paragrafoelenco"/>
        <w:widowControl/>
        <w:autoSpaceDE/>
        <w:autoSpaceDN/>
        <w:spacing w:line="276" w:lineRule="auto"/>
        <w:ind w:left="1080"/>
        <w:contextualSpacing/>
        <w:jc w:val="both"/>
        <w:rPr>
          <w:sz w:val="24"/>
          <w:szCs w:val="24"/>
        </w:rPr>
      </w:pPr>
    </w:p>
    <w:p w:rsidR="00D7799E" w:rsidRPr="00D2114D" w:rsidRDefault="00D7799E" w:rsidP="004E45B7">
      <w:pPr>
        <w:spacing w:after="20" w:line="276" w:lineRule="auto"/>
        <w:jc w:val="both"/>
        <w:rPr>
          <w:rFonts w:eastAsia="Calibri"/>
          <w:b/>
          <w:sz w:val="24"/>
          <w:szCs w:val="24"/>
        </w:rPr>
      </w:pPr>
    </w:p>
    <w:p w:rsidR="000C00C0" w:rsidRPr="00D2114D" w:rsidRDefault="000C00C0" w:rsidP="00273FB1">
      <w:pPr>
        <w:pStyle w:val="Corpotesto"/>
        <w:spacing w:after="20" w:line="276" w:lineRule="auto"/>
        <w:ind w:left="5387" w:right="615"/>
        <w:jc w:val="both"/>
        <w:rPr>
          <w:sz w:val="24"/>
          <w:szCs w:val="24"/>
        </w:rPr>
      </w:pPr>
    </w:p>
    <w:sectPr w:rsidR="000C00C0" w:rsidRPr="00D2114D" w:rsidSect="000C00C0">
      <w:type w:val="continuous"/>
      <w:pgSz w:w="11900" w:h="16820"/>
      <w:pgMar w:top="14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89E"/>
    <w:multiLevelType w:val="hybridMultilevel"/>
    <w:tmpl w:val="234ED8DA"/>
    <w:lvl w:ilvl="0" w:tplc="C18823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D6889"/>
    <w:multiLevelType w:val="hybridMultilevel"/>
    <w:tmpl w:val="14C8B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2325E"/>
    <w:multiLevelType w:val="hybridMultilevel"/>
    <w:tmpl w:val="EEA27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64895"/>
    <w:multiLevelType w:val="hybridMultilevel"/>
    <w:tmpl w:val="9E1033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259E4"/>
    <w:multiLevelType w:val="hybridMultilevel"/>
    <w:tmpl w:val="DD9A0F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882A7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E1124A"/>
    <w:multiLevelType w:val="hybridMultilevel"/>
    <w:tmpl w:val="8B408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E7EB0"/>
    <w:multiLevelType w:val="hybridMultilevel"/>
    <w:tmpl w:val="A70E4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17CDA"/>
    <w:multiLevelType w:val="hybridMultilevel"/>
    <w:tmpl w:val="4AB20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2186B"/>
    <w:multiLevelType w:val="hybridMultilevel"/>
    <w:tmpl w:val="66F2B20E"/>
    <w:lvl w:ilvl="0" w:tplc="DC2C14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C00C0"/>
    <w:rsid w:val="000215F0"/>
    <w:rsid w:val="000358DF"/>
    <w:rsid w:val="00050890"/>
    <w:rsid w:val="0006076B"/>
    <w:rsid w:val="000715F9"/>
    <w:rsid w:val="000919BC"/>
    <w:rsid w:val="000A3142"/>
    <w:rsid w:val="000A70CB"/>
    <w:rsid w:val="000C00C0"/>
    <w:rsid w:val="00110850"/>
    <w:rsid w:val="00174544"/>
    <w:rsid w:val="00182A53"/>
    <w:rsid w:val="001A388E"/>
    <w:rsid w:val="001A674A"/>
    <w:rsid w:val="001F7641"/>
    <w:rsid w:val="002060F7"/>
    <w:rsid w:val="002463D9"/>
    <w:rsid w:val="00273FB1"/>
    <w:rsid w:val="002B0FBE"/>
    <w:rsid w:val="002C04F6"/>
    <w:rsid w:val="002D4B91"/>
    <w:rsid w:val="002F72AA"/>
    <w:rsid w:val="00307F4D"/>
    <w:rsid w:val="003232AA"/>
    <w:rsid w:val="00350B16"/>
    <w:rsid w:val="003717FC"/>
    <w:rsid w:val="003910A0"/>
    <w:rsid w:val="00394467"/>
    <w:rsid w:val="003A5882"/>
    <w:rsid w:val="003B4EF2"/>
    <w:rsid w:val="003C16BB"/>
    <w:rsid w:val="003D3AE1"/>
    <w:rsid w:val="003E1029"/>
    <w:rsid w:val="004167E4"/>
    <w:rsid w:val="00416FA7"/>
    <w:rsid w:val="004303A6"/>
    <w:rsid w:val="00484698"/>
    <w:rsid w:val="004A1A92"/>
    <w:rsid w:val="004A2474"/>
    <w:rsid w:val="004E26E0"/>
    <w:rsid w:val="004E45B7"/>
    <w:rsid w:val="004F1C70"/>
    <w:rsid w:val="004F276E"/>
    <w:rsid w:val="00507C23"/>
    <w:rsid w:val="0051118A"/>
    <w:rsid w:val="00513586"/>
    <w:rsid w:val="00535EF3"/>
    <w:rsid w:val="00536170"/>
    <w:rsid w:val="0054082F"/>
    <w:rsid w:val="00565C35"/>
    <w:rsid w:val="005678CE"/>
    <w:rsid w:val="00576060"/>
    <w:rsid w:val="005E7859"/>
    <w:rsid w:val="00624866"/>
    <w:rsid w:val="00634759"/>
    <w:rsid w:val="00646510"/>
    <w:rsid w:val="00647B10"/>
    <w:rsid w:val="006639C9"/>
    <w:rsid w:val="00675C2D"/>
    <w:rsid w:val="00675CE7"/>
    <w:rsid w:val="00686D35"/>
    <w:rsid w:val="006B3B55"/>
    <w:rsid w:val="006F107E"/>
    <w:rsid w:val="006F6FC0"/>
    <w:rsid w:val="007017A9"/>
    <w:rsid w:val="0070498B"/>
    <w:rsid w:val="007372E2"/>
    <w:rsid w:val="00750295"/>
    <w:rsid w:val="0075049E"/>
    <w:rsid w:val="007854B9"/>
    <w:rsid w:val="007A40E0"/>
    <w:rsid w:val="007E77E0"/>
    <w:rsid w:val="00806837"/>
    <w:rsid w:val="008226E2"/>
    <w:rsid w:val="008375B6"/>
    <w:rsid w:val="00853365"/>
    <w:rsid w:val="008723D4"/>
    <w:rsid w:val="0088340C"/>
    <w:rsid w:val="008B5F88"/>
    <w:rsid w:val="008E34B5"/>
    <w:rsid w:val="00900808"/>
    <w:rsid w:val="0091146B"/>
    <w:rsid w:val="009329CD"/>
    <w:rsid w:val="00932E7D"/>
    <w:rsid w:val="00983DEE"/>
    <w:rsid w:val="009927C4"/>
    <w:rsid w:val="009A686F"/>
    <w:rsid w:val="009B7E1F"/>
    <w:rsid w:val="009C5E83"/>
    <w:rsid w:val="009E11DC"/>
    <w:rsid w:val="00A5191B"/>
    <w:rsid w:val="00A54602"/>
    <w:rsid w:val="00A61255"/>
    <w:rsid w:val="00AA3F8A"/>
    <w:rsid w:val="00AB1279"/>
    <w:rsid w:val="00AB667C"/>
    <w:rsid w:val="00AC775D"/>
    <w:rsid w:val="00AE6AA7"/>
    <w:rsid w:val="00B12D2A"/>
    <w:rsid w:val="00B26751"/>
    <w:rsid w:val="00B326AB"/>
    <w:rsid w:val="00B337C1"/>
    <w:rsid w:val="00B77F36"/>
    <w:rsid w:val="00B95E2E"/>
    <w:rsid w:val="00B971C5"/>
    <w:rsid w:val="00BD7511"/>
    <w:rsid w:val="00BE4046"/>
    <w:rsid w:val="00BE6E9D"/>
    <w:rsid w:val="00BF2362"/>
    <w:rsid w:val="00C30DA8"/>
    <w:rsid w:val="00C8020B"/>
    <w:rsid w:val="00CA4404"/>
    <w:rsid w:val="00CC3A31"/>
    <w:rsid w:val="00CD3506"/>
    <w:rsid w:val="00CD46DE"/>
    <w:rsid w:val="00CE61A1"/>
    <w:rsid w:val="00CE643B"/>
    <w:rsid w:val="00D2114D"/>
    <w:rsid w:val="00D66A0C"/>
    <w:rsid w:val="00D7799E"/>
    <w:rsid w:val="00DA4E7E"/>
    <w:rsid w:val="00DB0825"/>
    <w:rsid w:val="00DE20DE"/>
    <w:rsid w:val="00E07EC9"/>
    <w:rsid w:val="00E24A0F"/>
    <w:rsid w:val="00E25C26"/>
    <w:rsid w:val="00E431C1"/>
    <w:rsid w:val="00E54AFC"/>
    <w:rsid w:val="00E72E56"/>
    <w:rsid w:val="00E76063"/>
    <w:rsid w:val="00E80DC7"/>
    <w:rsid w:val="00E84066"/>
    <w:rsid w:val="00E85FEC"/>
    <w:rsid w:val="00EB2138"/>
    <w:rsid w:val="00ED1BEA"/>
    <w:rsid w:val="00ED7FB5"/>
    <w:rsid w:val="00F03E66"/>
    <w:rsid w:val="00F1076A"/>
    <w:rsid w:val="00F1302A"/>
    <w:rsid w:val="00F60F7B"/>
    <w:rsid w:val="00F8403A"/>
    <w:rsid w:val="00F9435E"/>
    <w:rsid w:val="00FA0FCA"/>
    <w:rsid w:val="00FF1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2D917C3"/>
  <w15:docId w15:val="{392F6310-333C-4699-A0CD-AC2C5593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C00C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5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0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C00C0"/>
  </w:style>
  <w:style w:type="paragraph" w:styleId="Paragrafoelenco">
    <w:name w:val="List Paragraph"/>
    <w:basedOn w:val="Normale"/>
    <w:uiPriority w:val="34"/>
    <w:qFormat/>
    <w:rsid w:val="000C00C0"/>
  </w:style>
  <w:style w:type="paragraph" w:customStyle="1" w:styleId="TableParagraph">
    <w:name w:val="Table Paragraph"/>
    <w:basedOn w:val="Normale"/>
    <w:uiPriority w:val="1"/>
    <w:qFormat/>
    <w:rsid w:val="000C00C0"/>
  </w:style>
  <w:style w:type="paragraph" w:customStyle="1" w:styleId="Default">
    <w:name w:val="Default"/>
    <w:rsid w:val="002060F7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C16BB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B5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styleId="Enfasigrassetto">
    <w:name w:val="Strong"/>
    <w:basedOn w:val="Carpredefinitoparagrafo"/>
    <w:uiPriority w:val="22"/>
    <w:qFormat/>
    <w:rsid w:val="002F72AA"/>
    <w:rPr>
      <w:b/>
      <w:bCs/>
    </w:rPr>
  </w:style>
  <w:style w:type="paragraph" w:customStyle="1" w:styleId="ydpb4feafa9msonormal">
    <w:name w:val="ydpb4feafa9msonormal"/>
    <w:basedOn w:val="Normale"/>
    <w:rsid w:val="00DB0825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  <w:lang w:eastAsia="it-IT"/>
    </w:rPr>
  </w:style>
  <w:style w:type="paragraph" w:customStyle="1" w:styleId="ydp5d0f0c24msolistparagraph">
    <w:name w:val="ydp5d0f0c24msolistparagraph"/>
    <w:basedOn w:val="Normale"/>
    <w:rsid w:val="00394467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6837"/>
    <w:rPr>
      <w:color w:val="800080" w:themeColor="followedHyperlink"/>
      <w:u w:val="single"/>
    </w:rPr>
  </w:style>
  <w:style w:type="paragraph" w:customStyle="1" w:styleId="ydpeafadf20yiv8145687613ydpf5b73f45msonormal">
    <w:name w:val="ydpeafadf20yiv8145687613ydpf5b73f45msonormal"/>
    <w:basedOn w:val="Normale"/>
    <w:rsid w:val="00E84066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5EF3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49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49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Lombardi Stefano Giovanni</dc:creator>
  <cp:lastModifiedBy>Antonio Spanu</cp:lastModifiedBy>
  <cp:revision>86</cp:revision>
  <cp:lastPrinted>2024-03-26T15:56:00Z</cp:lastPrinted>
  <dcterms:created xsi:type="dcterms:W3CDTF">2021-11-11T07:12:00Z</dcterms:created>
  <dcterms:modified xsi:type="dcterms:W3CDTF">2024-09-18T07:23:00Z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2021-09-15T00:00:00Z</vt:filetime>
  </property>
</Properties>
</file>